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do postępowania o udzielenie  zamówienia na: „</w:t>
      </w:r>
      <w:r w:rsidR="005E383D" w:rsidRPr="005E383D">
        <w:rPr>
          <w:rFonts w:ascii="Times New Roman" w:hAnsi="Times New Roman" w:cs="Times New Roman"/>
          <w:b/>
          <w:bCs/>
        </w:rPr>
        <w:t xml:space="preserve">dostawę silników </w:t>
      </w:r>
      <w:r w:rsidR="00B6798E">
        <w:rPr>
          <w:rFonts w:ascii="Times New Roman" w:hAnsi="Times New Roman" w:cs="Times New Roman"/>
          <w:b/>
          <w:bCs/>
        </w:rPr>
        <w:t xml:space="preserve">testowych </w:t>
      </w:r>
      <w:r w:rsidR="005E383D" w:rsidRPr="005E383D">
        <w:rPr>
          <w:rFonts w:ascii="Times New Roman" w:hAnsi="Times New Roman" w:cs="Times New Roman"/>
          <w:b/>
          <w:bCs/>
        </w:rPr>
        <w:t>wysokoprężnych wraz z osprzętem</w:t>
      </w:r>
      <w:r w:rsidR="00B6798E">
        <w:rPr>
          <w:rFonts w:ascii="Times New Roman" w:hAnsi="Times New Roman" w:cs="Times New Roman"/>
          <w:b/>
          <w:bCs/>
        </w:rPr>
        <w:t xml:space="preserve"> – szt. 4</w:t>
      </w:r>
      <w:r w:rsidRPr="002F6AEB">
        <w:rPr>
          <w:rFonts w:ascii="Times New Roman" w:hAnsi="Times New Roman" w:cs="Times New Roman"/>
        </w:rPr>
        <w:t>” , 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6AEB">
        <w:rPr>
          <w:rFonts w:ascii="Times New Roman" w:hAnsi="Times New Roman"/>
          <w:b/>
          <w:sz w:val="24"/>
          <w:szCs w:val="24"/>
        </w:rPr>
        <w:t>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</w:rPr>
        <w:t xml:space="preserve">     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807F08" w:rsidRDefault="00B6798E" w:rsidP="00B6798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„d</w:t>
      </w:r>
      <w:r w:rsidR="00807F08">
        <w:rPr>
          <w:rFonts w:ascii="Times New Roman" w:hAnsi="Times New Roman" w:cs="Times New Roman"/>
          <w:b/>
          <w:bCs/>
        </w:rPr>
        <w:t xml:space="preserve">ostawa silników </w:t>
      </w:r>
      <w:r>
        <w:rPr>
          <w:rFonts w:ascii="Times New Roman" w:hAnsi="Times New Roman" w:cs="Times New Roman"/>
          <w:b/>
          <w:bCs/>
        </w:rPr>
        <w:t xml:space="preserve">testowych  </w:t>
      </w:r>
      <w:r w:rsidR="00807F08">
        <w:rPr>
          <w:rFonts w:ascii="Times New Roman" w:hAnsi="Times New Roman" w:cs="Times New Roman"/>
          <w:b/>
          <w:bCs/>
        </w:rPr>
        <w:t xml:space="preserve">wysokoprężnych </w:t>
      </w:r>
      <w:r>
        <w:rPr>
          <w:rFonts w:ascii="Times New Roman" w:hAnsi="Times New Roman" w:cs="Times New Roman"/>
          <w:b/>
          <w:bCs/>
        </w:rPr>
        <w:t xml:space="preserve">wraz </w:t>
      </w:r>
      <w:r w:rsidR="00807F08">
        <w:rPr>
          <w:rFonts w:ascii="Times New Roman" w:hAnsi="Times New Roman" w:cs="Times New Roman"/>
          <w:b/>
          <w:bCs/>
        </w:rPr>
        <w:t xml:space="preserve">z osprzętem </w:t>
      </w:r>
      <w:r>
        <w:rPr>
          <w:rFonts w:ascii="Times New Roman" w:hAnsi="Times New Roman" w:cs="Times New Roman"/>
          <w:b/>
          <w:bCs/>
        </w:rPr>
        <w:t xml:space="preserve">– szt. 4 „ </w:t>
      </w:r>
    </w:p>
    <w:p w:rsidR="00B6798E" w:rsidRDefault="00B6798E" w:rsidP="00B6798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144C3" w:rsidRDefault="002F6AEB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 xml:space="preserve">34000000-7 : sprzęt transportowy i środki pomocnicze dla transportu, 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>34300000-0 : części i akcesoria do pojazdów i silniki do nich,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 xml:space="preserve">34310000-3 : silniki do pojazdów i części silników , 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 xml:space="preserve">34311000-0 : silniki do pojazdów ,  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>34311100-1 : silniki wewnętrznego spalania do  pojazdów silnikowych i motorów,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>34311120-7 : silniki z samoczynnym zapłonem ,</w:t>
      </w:r>
    </w:p>
    <w:p w:rsidR="00807F08" w:rsidRDefault="00807F08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IV.1.3)   Cel zamówienia: </w:t>
      </w:r>
    </w:p>
    <w:p w:rsidR="002F6AEB" w:rsidRPr="002F6AEB" w:rsidRDefault="002F6AEB" w:rsidP="002F6AE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807F08" w:rsidRPr="00B6798E">
        <w:rPr>
          <w:rFonts w:ascii="Times New Roman" w:hAnsi="Times New Roman" w:cs="Times New Roman"/>
          <w:bCs/>
        </w:rPr>
        <w:t>dostawa silników</w:t>
      </w:r>
      <w:r w:rsidR="00B6798E" w:rsidRPr="00B6798E">
        <w:rPr>
          <w:rFonts w:ascii="Times New Roman" w:hAnsi="Times New Roman" w:cs="Times New Roman"/>
          <w:bCs/>
        </w:rPr>
        <w:t xml:space="preserve"> testowych </w:t>
      </w:r>
      <w:r w:rsidR="00807F08" w:rsidRPr="00B6798E">
        <w:rPr>
          <w:rFonts w:ascii="Times New Roman" w:hAnsi="Times New Roman" w:cs="Times New Roman"/>
          <w:bCs/>
        </w:rPr>
        <w:t xml:space="preserve"> wysokoprężnych wraz z osprzętem</w:t>
      </w:r>
      <w:r w:rsidR="00B6798E" w:rsidRPr="00B6798E">
        <w:rPr>
          <w:rFonts w:ascii="Times New Roman" w:hAnsi="Times New Roman" w:cs="Times New Roman"/>
          <w:bCs/>
        </w:rPr>
        <w:t xml:space="preserve"> szt.4 </w:t>
      </w:r>
      <w:r w:rsidR="00807F08" w:rsidRPr="00B6798E">
        <w:rPr>
          <w:rFonts w:ascii="Times New Roman" w:hAnsi="Times New Roman" w:cs="Times New Roman"/>
          <w:bCs/>
        </w:rPr>
        <w:t xml:space="preserve">, przeznaczonych do przeprowadzenia badań instalacji dwupaliwowej ON/CNG,  </w:t>
      </w:r>
      <w:r w:rsidRPr="00B6798E">
        <w:rPr>
          <w:rFonts w:ascii="Times New Roman" w:hAnsi="Times New Roman" w:cs="Times New Roman"/>
          <w:bCs/>
        </w:rPr>
        <w:t xml:space="preserve"> związan</w:t>
      </w:r>
      <w:r w:rsidR="00807F08" w:rsidRPr="00B6798E">
        <w:rPr>
          <w:rFonts w:ascii="Times New Roman" w:hAnsi="Times New Roman" w:cs="Times New Roman"/>
          <w:bCs/>
        </w:rPr>
        <w:t>ych</w:t>
      </w:r>
      <w:r w:rsidRPr="00B6798E">
        <w:rPr>
          <w:rFonts w:ascii="Times New Roman" w:hAnsi="Times New Roman" w:cs="Times New Roman"/>
          <w:bCs/>
        </w:rPr>
        <w:t xml:space="preserve"> z realizacj</w:t>
      </w:r>
      <w:r w:rsidR="00807F08" w:rsidRPr="00B6798E">
        <w:rPr>
          <w:rFonts w:ascii="Times New Roman" w:hAnsi="Times New Roman" w:cs="Times New Roman"/>
          <w:bCs/>
        </w:rPr>
        <w:t>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2F6AEB" w:rsidRPr="002F6AEB" w:rsidRDefault="002F6AEB" w:rsidP="002F6AE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F6AEB" w:rsidRPr="002F6AEB" w:rsidRDefault="002F6AEB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2F6AEB" w:rsidRDefault="00807F08" w:rsidP="00807F08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parametry techniczne silnik</w:t>
      </w:r>
      <w:r w:rsidR="00C7109A">
        <w:rPr>
          <w:rFonts w:ascii="Times New Roman" w:hAnsi="Times New Roman" w:cs="Times New Roman"/>
          <w:lang w:eastAsia="pl-PL"/>
        </w:rPr>
        <w:t>ów wysokoprężnych</w:t>
      </w:r>
      <w:r>
        <w:rPr>
          <w:rFonts w:ascii="Times New Roman" w:hAnsi="Times New Roman" w:cs="Times New Roman"/>
          <w:lang w:eastAsia="pl-PL"/>
        </w:rPr>
        <w:t>: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807F08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liczba suwów pracy: 4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Wymagany układ dolotu powierza: </w:t>
      </w:r>
      <w:r w:rsidRPr="00E17E70">
        <w:rPr>
          <w:rFonts w:ascii="Times New Roman" w:hAnsi="Times New Roman" w:cs="Times New Roman"/>
          <w:lang w:eastAsia="pl-PL"/>
        </w:rPr>
        <w:t>Turbosprężarka o zmiennej geometrii z dyszą przesuwną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liczba zaworów na cylinder: 4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głowica cylindra: J</w:t>
      </w:r>
      <w:r w:rsidRPr="00E17E70">
        <w:rPr>
          <w:rFonts w:ascii="Times New Roman" w:hAnsi="Times New Roman" w:cs="Times New Roman"/>
          <w:lang w:eastAsia="pl-PL"/>
        </w:rPr>
        <w:t>ednoczęściowa sztywna głowica cylindra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system wtrysku: Układ Common Rail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m</w:t>
      </w:r>
      <w:r w:rsidRPr="00E17E70">
        <w:rPr>
          <w:rFonts w:ascii="Times New Roman" w:hAnsi="Times New Roman" w:cs="Times New Roman"/>
          <w:lang w:eastAsia="pl-PL"/>
        </w:rPr>
        <w:t>aksymalne ciśnienie wtrysku paliwa</w:t>
      </w:r>
      <w:r>
        <w:rPr>
          <w:rFonts w:ascii="Times New Roman" w:hAnsi="Times New Roman" w:cs="Times New Roman"/>
          <w:lang w:eastAsia="pl-PL"/>
        </w:rPr>
        <w:t>: 2 400 bar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współczynnik kompresji: 17:1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Wymagany rozstaw </w:t>
      </w:r>
      <w:r w:rsidR="00AF725F">
        <w:rPr>
          <w:rFonts w:ascii="Times New Roman" w:hAnsi="Times New Roman" w:cs="Times New Roman"/>
          <w:lang w:eastAsia="pl-PL"/>
        </w:rPr>
        <w:t>pomiędzy cylindrami</w:t>
      </w:r>
      <w:r>
        <w:rPr>
          <w:rFonts w:ascii="Times New Roman" w:hAnsi="Times New Roman" w:cs="Times New Roman"/>
          <w:lang w:eastAsia="pl-PL"/>
        </w:rPr>
        <w:t>: 168 mm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Wymagany skok cylindra: </w:t>
      </w:r>
      <w:r w:rsidR="00AF725F">
        <w:rPr>
          <w:rFonts w:ascii="Times New Roman" w:hAnsi="Times New Roman" w:cs="Times New Roman"/>
          <w:lang w:eastAsia="pl-PL"/>
        </w:rPr>
        <w:t>158 mm</w:t>
      </w:r>
    </w:p>
    <w:p w:rsidR="00AF725F" w:rsidRDefault="00AF725F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średnica tłoka: 131 mm</w:t>
      </w:r>
    </w:p>
    <w:p w:rsidR="00E17E70" w:rsidRDefault="00E17E70" w:rsidP="00E17E7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807F08" w:rsidRDefault="00807F08" w:rsidP="00807F08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osprzęt</w:t>
      </w:r>
      <w:r w:rsidR="00C7109A">
        <w:rPr>
          <w:rFonts w:ascii="Times New Roman" w:hAnsi="Times New Roman" w:cs="Times New Roman"/>
          <w:lang w:eastAsia="pl-PL"/>
        </w:rPr>
        <w:t xml:space="preserve"> dla silników</w:t>
      </w:r>
      <w:r>
        <w:rPr>
          <w:rFonts w:ascii="Times New Roman" w:hAnsi="Times New Roman" w:cs="Times New Roman"/>
          <w:lang w:eastAsia="pl-PL"/>
        </w:rPr>
        <w:t>:</w:t>
      </w:r>
    </w:p>
    <w:p w:rsidR="00AF725F" w:rsidRDefault="00AF725F" w:rsidP="00AF725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AF725F" w:rsidRDefault="00AF725F" w:rsidP="00AF725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Silnik musi posiadać system katalizatora SCR.</w:t>
      </w:r>
    </w:p>
    <w:p w:rsidR="00807F08" w:rsidRDefault="00AF725F" w:rsidP="00AF725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jest dwucylindrowy kompresor powietrza o przepływie 31,8 CFM.</w:t>
      </w:r>
    </w:p>
    <w:p w:rsidR="00AF725F" w:rsidRDefault="00AF725F" w:rsidP="00AF725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Silnik musi być wyposażony w retarder.</w:t>
      </w:r>
    </w:p>
    <w:p w:rsidR="00AF725F" w:rsidRDefault="00AF725F" w:rsidP="00AF725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Silnik musi być wyposażony w</w:t>
      </w:r>
      <w:r w:rsidR="00144825">
        <w:rPr>
          <w:rFonts w:ascii="Times New Roman" w:hAnsi="Times New Roman" w:cs="Times New Roman"/>
          <w:lang w:eastAsia="pl-PL"/>
        </w:rPr>
        <w:t>e wszystkie układy, niezbędne do jego samodzielnego uruchomienia, do których zaliczane są: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kompletny układ chłodzenia,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kompletny układ doładowania,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kompletny układ odprowadzania spalin,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alternator, 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rozrusznik,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stacyjkę oraz deskę rozdzielczą,</w:t>
      </w:r>
    </w:p>
    <w:p w:rsidR="00144825" w:rsidRDefault="00144825" w:rsidP="0014482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innego rodzaju elementy </w:t>
      </w:r>
      <w:r w:rsidR="00C00A42">
        <w:rPr>
          <w:rFonts w:ascii="Times New Roman" w:hAnsi="Times New Roman" w:cs="Times New Roman"/>
          <w:lang w:eastAsia="pl-PL"/>
        </w:rPr>
        <w:t xml:space="preserve">oraz układy </w:t>
      </w:r>
      <w:r>
        <w:rPr>
          <w:rFonts w:ascii="Times New Roman" w:hAnsi="Times New Roman" w:cs="Times New Roman"/>
          <w:lang w:eastAsia="pl-PL"/>
        </w:rPr>
        <w:t xml:space="preserve">umożliwiające </w:t>
      </w:r>
      <w:r w:rsidR="00C00A42">
        <w:rPr>
          <w:rFonts w:ascii="Times New Roman" w:hAnsi="Times New Roman" w:cs="Times New Roman"/>
          <w:lang w:eastAsia="pl-PL"/>
        </w:rPr>
        <w:t xml:space="preserve">samodzielne </w:t>
      </w:r>
      <w:r>
        <w:rPr>
          <w:rFonts w:ascii="Times New Roman" w:hAnsi="Times New Roman" w:cs="Times New Roman"/>
          <w:lang w:eastAsia="pl-PL"/>
        </w:rPr>
        <w:t>uruchomienie silnika.</w:t>
      </w:r>
    </w:p>
    <w:p w:rsidR="00AF725F" w:rsidRDefault="00AF725F" w:rsidP="00AF725F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807F08" w:rsidRDefault="00807F08" w:rsidP="00807F08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liczba sztuk silników:</w:t>
      </w:r>
    </w:p>
    <w:p w:rsidR="00807F08" w:rsidRPr="003207F2" w:rsidRDefault="00807F08" w:rsidP="00807F08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wymaga 4 sztuk silników tego samego rodzaju. Dostawy silniki różnych producentów lub różnych modeli tego samego producenta jest niedopuszczalne.</w:t>
      </w:r>
    </w:p>
    <w:p w:rsidR="002F6AEB" w:rsidRPr="002F6AEB" w:rsidRDefault="002F6AEB" w:rsidP="002F6AEB">
      <w:pPr>
        <w:spacing w:line="276" w:lineRule="auto"/>
        <w:ind w:left="708"/>
        <w:jc w:val="both"/>
        <w:rPr>
          <w:rFonts w:ascii="Times New Roman" w:hAnsi="Times New Roman" w:cs="Times New Roman"/>
          <w:lang w:eastAsia="pl-PL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B6798E">
        <w:rPr>
          <w:rFonts w:ascii="Times New Roman" w:hAnsi="Times New Roman"/>
          <w:b/>
          <w:sz w:val="24"/>
          <w:szCs w:val="24"/>
        </w:rPr>
        <w:t>2</w:t>
      </w:r>
      <w:r w:rsidRPr="003939CA">
        <w:rPr>
          <w:rFonts w:ascii="Times New Roman" w:hAnsi="Times New Roman"/>
          <w:b/>
          <w:sz w:val="24"/>
          <w:szCs w:val="24"/>
        </w:rPr>
        <w:t>2.0</w:t>
      </w:r>
      <w:r w:rsidR="00B6798E">
        <w:rPr>
          <w:rFonts w:ascii="Times New Roman" w:hAnsi="Times New Roman"/>
          <w:b/>
          <w:sz w:val="24"/>
          <w:szCs w:val="24"/>
        </w:rPr>
        <w:t>3</w:t>
      </w:r>
      <w:r w:rsidRPr="003939CA">
        <w:rPr>
          <w:rFonts w:ascii="Times New Roman" w:hAnsi="Times New Roman"/>
          <w:b/>
          <w:sz w:val="24"/>
          <w:szCs w:val="24"/>
        </w:rPr>
        <w:t>.2020 r.</w:t>
      </w: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  <w:r w:rsidR="002F6AEB" w:rsidRPr="002F6AEB">
        <w:rPr>
          <w:rFonts w:ascii="Times New Roman" w:hAnsi="Times New Roman" w:cs="Times New Roman"/>
        </w:rPr>
        <w:t xml:space="preserve"> 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</w:t>
      </w:r>
      <w:r w:rsidR="00B51CEF">
        <w:rPr>
          <w:rFonts w:ascii="Times New Roman" w:hAnsi="Times New Roman" w:cs="Times New Roman"/>
        </w:rPr>
        <w:t xml:space="preserve"> 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wykonać </w:t>
      </w:r>
      <w:r w:rsidR="00C80E00">
        <w:rPr>
          <w:rFonts w:ascii="Times New Roman" w:hAnsi="Times New Roman" w:cs="Times New Roman"/>
        </w:rPr>
        <w:t>d</w:t>
      </w:r>
      <w:r w:rsidR="00EF7D3A">
        <w:rPr>
          <w:rFonts w:ascii="Times New Roman" w:hAnsi="Times New Roman" w:cs="Times New Roman"/>
        </w:rPr>
        <w:t xml:space="preserve">o 30 marca 2020r. , </w:t>
      </w:r>
      <w:r w:rsidR="00C80E00">
        <w:rPr>
          <w:rFonts w:ascii="Times New Roman" w:hAnsi="Times New Roman" w:cs="Times New Roman"/>
        </w:rPr>
        <w:t xml:space="preserve">nie  później niż </w:t>
      </w:r>
      <w:r w:rsidR="00EF7D3A">
        <w:rPr>
          <w:rFonts w:ascii="Times New Roman" w:hAnsi="Times New Roman" w:cs="Times New Roman"/>
        </w:rPr>
        <w:t>w ciągu 5 dni  od daty wyboru oferty Wykonawcy i podpisania umowy dostawy .</w:t>
      </w:r>
      <w:r w:rsidR="00B6798E">
        <w:rPr>
          <w:rFonts w:ascii="Times New Roman" w:hAnsi="Times New Roman" w:cs="Times New Roman"/>
        </w:rPr>
        <w:t xml:space="preserve"> </w:t>
      </w:r>
    </w:p>
    <w:p w:rsidR="008879F4" w:rsidRDefault="008879F4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</w:t>
      </w:r>
      <w:r w:rsidR="002F6AEB" w:rsidRPr="002F6AEB">
        <w:rPr>
          <w:rFonts w:ascii="Times New Roman" w:hAnsi="Times New Roman" w:cs="Times New Roman"/>
        </w:rPr>
        <w:lastRenderedPageBreak/>
        <w:t xml:space="preserve">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braku powiązania osobowego lub kapitałowego z Zamawiającym – załącznik nr 3, przez które rozumie się wzajemne powiązania między Zamawiającym lub 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lastRenderedPageBreak/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>ałącznik nr 1 do niniejszego zapytania ofertowego, w języku polskim, w formie pisemnej, czytelnie, wypełniając nieścieralnym 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Podana w ofercie cena netto ma być wyrażona w PLN. Cena musi uwzględniać wszystkie wymagania niniejszego zapytania ofertowego oraz obejmować wszelkie koszty związane z </w:t>
      </w:r>
      <w:r w:rsidRPr="002F6AEB">
        <w:rPr>
          <w:rFonts w:ascii="Times New Roman" w:hAnsi="Times New Roman"/>
          <w:sz w:val="24"/>
          <w:szCs w:val="24"/>
        </w:rPr>
        <w:lastRenderedPageBreak/>
        <w:t>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B7145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>PRZETARG  -</w:t>
      </w:r>
      <w:r w:rsidRPr="002F6AEB">
        <w:rPr>
          <w:rFonts w:ascii="Times New Roman" w:hAnsi="Times New Roman" w:cs="Times New Roman"/>
        </w:rPr>
        <w:t xml:space="preserve"> </w:t>
      </w:r>
      <w:r w:rsidR="00EF7D3A">
        <w:rPr>
          <w:rFonts w:ascii="Times New Roman" w:hAnsi="Times New Roman" w:cs="Times New Roman"/>
        </w:rPr>
        <w:t xml:space="preserve">„ </w:t>
      </w:r>
      <w:r w:rsidR="00EF7D3A" w:rsidRPr="00EF7D3A">
        <w:rPr>
          <w:rFonts w:ascii="Times New Roman" w:hAnsi="Times New Roman" w:cs="Times New Roman"/>
          <w:b/>
        </w:rPr>
        <w:t>d</w:t>
      </w:r>
      <w:r w:rsidR="00B71456">
        <w:rPr>
          <w:rFonts w:ascii="Times New Roman" w:hAnsi="Times New Roman" w:cs="Times New Roman"/>
          <w:b/>
          <w:bCs/>
        </w:rPr>
        <w:t xml:space="preserve">ostawa silników </w:t>
      </w:r>
      <w:r w:rsidR="00EF7D3A">
        <w:rPr>
          <w:rFonts w:ascii="Times New Roman" w:hAnsi="Times New Roman" w:cs="Times New Roman"/>
          <w:b/>
          <w:bCs/>
        </w:rPr>
        <w:t xml:space="preserve">testowych wysokoprężnych wraz </w:t>
      </w:r>
      <w:r w:rsidR="00B71456">
        <w:rPr>
          <w:rFonts w:ascii="Times New Roman" w:hAnsi="Times New Roman" w:cs="Times New Roman"/>
          <w:b/>
          <w:bCs/>
        </w:rPr>
        <w:t xml:space="preserve"> z osprzętem </w:t>
      </w:r>
      <w:r w:rsidR="00EF7D3A">
        <w:rPr>
          <w:rFonts w:ascii="Times New Roman" w:hAnsi="Times New Roman" w:cs="Times New Roman"/>
          <w:b/>
          <w:bCs/>
        </w:rPr>
        <w:t xml:space="preserve">– szt.4 „ </w:t>
      </w:r>
      <w:r w:rsidR="00B71456">
        <w:rPr>
          <w:rFonts w:ascii="Times New Roman" w:hAnsi="Times New Roman" w:cs="Times New Roman"/>
          <w:b/>
          <w:bCs/>
        </w:rPr>
        <w:t>.</w:t>
      </w:r>
      <w:r w:rsidRPr="002F6AEB">
        <w:rPr>
          <w:rFonts w:ascii="Times New Roman" w:hAnsi="Times New Roman" w:cs="Times New Roman"/>
          <w:b/>
        </w:rPr>
        <w:t xml:space="preserve"> 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C80E00">
        <w:rPr>
          <w:rFonts w:ascii="Times New Roman" w:hAnsi="Times New Roman" w:cs="Times New Roman"/>
          <w:b/>
        </w:rPr>
        <w:t xml:space="preserve">25.03.2020r.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>Oferta przesyłana jest na adres Zamawiającego : Gaslux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ul.Łopuszańskiej 35 ,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EF7D3A">
        <w:rPr>
          <w:rFonts w:ascii="Times New Roman" w:hAnsi="Times New Roman" w:cs="Times New Roman"/>
          <w:b/>
        </w:rPr>
        <w:t>25</w:t>
      </w:r>
      <w:r w:rsidRPr="002F6AEB">
        <w:rPr>
          <w:rFonts w:ascii="Times New Roman" w:hAnsi="Times New Roman" w:cs="Times New Roman"/>
          <w:b/>
        </w:rPr>
        <w:t>.0</w:t>
      </w:r>
      <w:r w:rsidR="00C80E00">
        <w:rPr>
          <w:rFonts w:ascii="Times New Roman" w:hAnsi="Times New Roman" w:cs="Times New Roman"/>
          <w:b/>
        </w:rPr>
        <w:t>3</w:t>
      </w:r>
      <w:r w:rsidRPr="002F6AEB">
        <w:rPr>
          <w:rFonts w:ascii="Times New Roman" w:hAnsi="Times New Roman" w:cs="Times New Roman"/>
          <w:b/>
        </w:rPr>
        <w:t>.2020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C80E00">
        <w:rPr>
          <w:rFonts w:ascii="Times New Roman" w:hAnsi="Times New Roman" w:cs="Times New Roman"/>
          <w:b/>
        </w:rPr>
        <w:t>25.03.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Pr="00292FF9">
        <w:rPr>
          <w:rFonts w:ascii="Times New Roman" w:hAnsi="Times New Roman" w:cs="Times New Roman"/>
        </w:rPr>
        <w:t xml:space="preserve"> </w:t>
      </w:r>
      <w:r w:rsidR="00B71456">
        <w:rPr>
          <w:rFonts w:ascii="Times New Roman" w:hAnsi="Times New Roman" w:cs="Times New Roman"/>
          <w:b/>
          <w:bCs/>
        </w:rPr>
        <w:t xml:space="preserve">Dostawa silników </w:t>
      </w:r>
      <w:r w:rsidR="00C80E00">
        <w:rPr>
          <w:rFonts w:ascii="Times New Roman" w:hAnsi="Times New Roman" w:cs="Times New Roman"/>
          <w:b/>
          <w:bCs/>
        </w:rPr>
        <w:t xml:space="preserve">testowych </w:t>
      </w:r>
      <w:r w:rsidR="00B71456">
        <w:rPr>
          <w:rFonts w:ascii="Times New Roman" w:hAnsi="Times New Roman" w:cs="Times New Roman"/>
          <w:b/>
          <w:bCs/>
        </w:rPr>
        <w:t xml:space="preserve">wysokoprężnych </w:t>
      </w:r>
      <w:r w:rsidR="00C80E00">
        <w:rPr>
          <w:rFonts w:ascii="Times New Roman" w:hAnsi="Times New Roman" w:cs="Times New Roman"/>
          <w:b/>
          <w:bCs/>
        </w:rPr>
        <w:t xml:space="preserve">wraz </w:t>
      </w:r>
      <w:r w:rsidR="00B71456">
        <w:rPr>
          <w:rFonts w:ascii="Times New Roman" w:hAnsi="Times New Roman" w:cs="Times New Roman"/>
          <w:b/>
          <w:bCs/>
        </w:rPr>
        <w:t xml:space="preserve">z osprzętem </w:t>
      </w:r>
      <w:r w:rsidR="00C80E00">
        <w:rPr>
          <w:rFonts w:ascii="Times New Roman" w:hAnsi="Times New Roman" w:cs="Times New Roman"/>
          <w:b/>
          <w:bCs/>
        </w:rPr>
        <w:t>– szt. 4</w:t>
      </w:r>
      <w:r w:rsidRPr="00292FF9">
        <w:rPr>
          <w:rFonts w:ascii="Times New Roman" w:hAnsi="Times New Roman" w:cs="Times New Roman"/>
        </w:rPr>
        <w:t xml:space="preserve">” 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C80E00">
        <w:rPr>
          <w:rFonts w:ascii="Times New Roman" w:hAnsi="Times New Roman" w:cs="Times New Roman"/>
          <w:b/>
        </w:rPr>
        <w:t>25.03</w:t>
      </w:r>
      <w:r w:rsidRPr="002F6AEB">
        <w:rPr>
          <w:rFonts w:ascii="Times New Roman" w:hAnsi="Times New Roman" w:cs="Times New Roman"/>
          <w:b/>
        </w:rPr>
        <w:t>.2020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  <w:vertAlign w:val="superscript"/>
        </w:rPr>
        <w:t xml:space="preserve">  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  <w:r w:rsidR="002F6AEB" w:rsidRPr="00A56667">
        <w:rPr>
          <w:rFonts w:ascii="Times New Roman" w:hAnsi="Times New Roman" w:cs="Times New Roman"/>
        </w:rPr>
        <w:t xml:space="preserve"> </w:t>
      </w:r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</w:t>
      </w:r>
      <w:r w:rsidRPr="002F6AEB">
        <w:rPr>
          <w:rFonts w:ascii="Times New Roman" w:hAnsi="Times New Roman"/>
          <w:sz w:val="24"/>
          <w:szCs w:val="24"/>
        </w:rPr>
        <w:t xml:space="preserve"> </w:t>
      </w:r>
      <w:r w:rsidR="008950DA">
        <w:rPr>
          <w:rFonts w:ascii="Times New Roman" w:hAnsi="Times New Roman"/>
          <w:sz w:val="24"/>
          <w:szCs w:val="24"/>
        </w:rPr>
        <w:t>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2 – oświadczenie o spełnieniu warunków postępowania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D9" w:rsidRDefault="00F33ED9">
      <w:r>
        <w:separator/>
      </w:r>
    </w:p>
  </w:endnote>
  <w:endnote w:type="continuationSeparator" w:id="1">
    <w:p w:rsidR="00F33ED9" w:rsidRDefault="00F3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4118EB">
    <w:pPr>
      <w:pStyle w:val="Stopka"/>
      <w:jc w:val="center"/>
    </w:pPr>
    <w:fldSimple w:instr=" PAGE   \* MERGEFORMAT ">
      <w:r w:rsidR="008950DA">
        <w:rPr>
          <w:noProof/>
        </w:rPr>
        <w:t>12</w:t>
      </w:r>
    </w:fldSimple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D9" w:rsidRDefault="00F33ED9">
      <w:r>
        <w:separator/>
      </w:r>
    </w:p>
  </w:footnote>
  <w:footnote w:type="continuationSeparator" w:id="1">
    <w:p w:rsidR="00F33ED9" w:rsidRDefault="00F33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6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0"/>
  </w:num>
  <w:num w:numId="8">
    <w:abstractNumId w:val="28"/>
  </w:num>
  <w:num w:numId="9">
    <w:abstractNumId w:val="29"/>
  </w:num>
  <w:num w:numId="10">
    <w:abstractNumId w:val="23"/>
  </w:num>
  <w:num w:numId="11">
    <w:abstractNumId w:val="31"/>
  </w:num>
  <w:num w:numId="12">
    <w:abstractNumId w:val="36"/>
  </w:num>
  <w:num w:numId="13">
    <w:abstractNumId w:val="21"/>
  </w:num>
  <w:num w:numId="14">
    <w:abstractNumId w:val="34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9"/>
  </w:num>
  <w:num w:numId="20">
    <w:abstractNumId w:val="5"/>
  </w:num>
  <w:num w:numId="21">
    <w:abstractNumId w:val="17"/>
  </w:num>
  <w:num w:numId="22">
    <w:abstractNumId w:val="37"/>
  </w:num>
  <w:num w:numId="23">
    <w:abstractNumId w:val="30"/>
  </w:num>
  <w:num w:numId="24">
    <w:abstractNumId w:val="27"/>
  </w:num>
  <w:num w:numId="25">
    <w:abstractNumId w:val="35"/>
  </w:num>
  <w:num w:numId="26">
    <w:abstractNumId w:val="19"/>
  </w:num>
  <w:num w:numId="27">
    <w:abstractNumId w:val="8"/>
  </w:num>
  <w:num w:numId="28">
    <w:abstractNumId w:val="12"/>
  </w:num>
  <w:num w:numId="29">
    <w:abstractNumId w:val="6"/>
  </w:num>
  <w:num w:numId="30">
    <w:abstractNumId w:val="22"/>
  </w:num>
  <w:num w:numId="31">
    <w:abstractNumId w:val="24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26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31047"/>
    <w:rsid w:val="00057F7A"/>
    <w:rsid w:val="00073536"/>
    <w:rsid w:val="000E438C"/>
    <w:rsid w:val="00144825"/>
    <w:rsid w:val="0017683B"/>
    <w:rsid w:val="001C0222"/>
    <w:rsid w:val="00206AD4"/>
    <w:rsid w:val="0026570F"/>
    <w:rsid w:val="00274DD6"/>
    <w:rsid w:val="00292FF9"/>
    <w:rsid w:val="002E7109"/>
    <w:rsid w:val="002F6AEB"/>
    <w:rsid w:val="003207F2"/>
    <w:rsid w:val="00332379"/>
    <w:rsid w:val="00356D00"/>
    <w:rsid w:val="00373D85"/>
    <w:rsid w:val="00383E28"/>
    <w:rsid w:val="003866C4"/>
    <w:rsid w:val="003939CA"/>
    <w:rsid w:val="00395676"/>
    <w:rsid w:val="003E26BE"/>
    <w:rsid w:val="004118EB"/>
    <w:rsid w:val="004F1AE5"/>
    <w:rsid w:val="005E383D"/>
    <w:rsid w:val="00650879"/>
    <w:rsid w:val="0076613E"/>
    <w:rsid w:val="007765F4"/>
    <w:rsid w:val="007D64FC"/>
    <w:rsid w:val="00807F08"/>
    <w:rsid w:val="00813576"/>
    <w:rsid w:val="008879F4"/>
    <w:rsid w:val="008903EF"/>
    <w:rsid w:val="00892C9D"/>
    <w:rsid w:val="008950DA"/>
    <w:rsid w:val="008B1C1A"/>
    <w:rsid w:val="008B2280"/>
    <w:rsid w:val="008C2396"/>
    <w:rsid w:val="008C2DBC"/>
    <w:rsid w:val="008D75D8"/>
    <w:rsid w:val="008F4D14"/>
    <w:rsid w:val="00934F0E"/>
    <w:rsid w:val="009369E4"/>
    <w:rsid w:val="009951A9"/>
    <w:rsid w:val="00A56667"/>
    <w:rsid w:val="00A61046"/>
    <w:rsid w:val="00A74609"/>
    <w:rsid w:val="00AA3DDB"/>
    <w:rsid w:val="00AB4333"/>
    <w:rsid w:val="00AB6EFF"/>
    <w:rsid w:val="00AF725F"/>
    <w:rsid w:val="00B156D8"/>
    <w:rsid w:val="00B434BB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A7E5A"/>
    <w:rsid w:val="00BC1718"/>
    <w:rsid w:val="00C00A42"/>
    <w:rsid w:val="00C7109A"/>
    <w:rsid w:val="00C80E00"/>
    <w:rsid w:val="00C8795F"/>
    <w:rsid w:val="00C97640"/>
    <w:rsid w:val="00CA2D20"/>
    <w:rsid w:val="00CD4279"/>
    <w:rsid w:val="00D02A5B"/>
    <w:rsid w:val="00D0740C"/>
    <w:rsid w:val="00D43EF5"/>
    <w:rsid w:val="00D465FF"/>
    <w:rsid w:val="00D73A96"/>
    <w:rsid w:val="00D96A2E"/>
    <w:rsid w:val="00DE04DC"/>
    <w:rsid w:val="00E11621"/>
    <w:rsid w:val="00E17E70"/>
    <w:rsid w:val="00E20955"/>
    <w:rsid w:val="00E849C8"/>
    <w:rsid w:val="00E87EC4"/>
    <w:rsid w:val="00ED3319"/>
    <w:rsid w:val="00EF7D3A"/>
    <w:rsid w:val="00F01A35"/>
    <w:rsid w:val="00F144C3"/>
    <w:rsid w:val="00F33ED9"/>
    <w:rsid w:val="00F662E0"/>
    <w:rsid w:val="00F74215"/>
    <w:rsid w:val="00F91E01"/>
    <w:rsid w:val="00FB05A5"/>
    <w:rsid w:val="00F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8BFE-62CB-4170-AC30-2A12990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19937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2</cp:revision>
  <dcterms:created xsi:type="dcterms:W3CDTF">2020-03-17T20:21:00Z</dcterms:created>
  <dcterms:modified xsi:type="dcterms:W3CDTF">2020-03-17T20:21:00Z</dcterms:modified>
</cp:coreProperties>
</file>