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line="360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do postępowania o udzielenie  zamówienia na:</w:t>
      </w:r>
      <w:r w:rsidRPr="00EC677E">
        <w:rPr>
          <w:rFonts w:ascii="Arial" w:hAnsi="Arial" w:cs="Arial"/>
          <w:sz w:val="20"/>
        </w:rPr>
        <w:t xml:space="preserve"> </w:t>
      </w:r>
      <w:r w:rsidRPr="002C39B6">
        <w:rPr>
          <w:rFonts w:ascii="Times New Roman" w:hAnsi="Times New Roman" w:cs="Times New Roman"/>
          <w:b/>
        </w:rPr>
        <w:t>„</w:t>
      </w:r>
      <w:r w:rsidRPr="002C39B6">
        <w:rPr>
          <w:rFonts w:ascii="Times New Roman" w:hAnsi="Times New Roman" w:cs="Times New Roman"/>
          <w:b/>
          <w:bCs/>
        </w:rPr>
        <w:t>dostawę elementów  do instalacji  sprężonego gazu ziemnego CNG w wykonaniu EX związanej z modernizacją istniejącego stanowiska diagnostyczno-dynamometrycznego do badań instalacji gazu sprężonego CNG w układzie zasilania silnika testowego wysokoprężnego z zapłonem samoczynnym - reduktor – szt. 2 i ogrzewacza - szt.2 ”</w:t>
      </w:r>
      <w:r>
        <w:rPr>
          <w:rFonts w:ascii="Times New Roman" w:hAnsi="Times New Roman" w:cs="Times New Roman"/>
          <w:bCs/>
        </w:rPr>
        <w:t xml:space="preserve"> </w:t>
      </w:r>
      <w:r w:rsidRPr="002F6AEB">
        <w:rPr>
          <w:rFonts w:ascii="Times New Roman" w:hAnsi="Times New Roman" w:cs="Times New Roman"/>
        </w:rPr>
        <w:t>, 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6AEB">
        <w:rPr>
          <w:rFonts w:ascii="Times New Roman" w:hAnsi="Times New Roman"/>
          <w:b/>
          <w:sz w:val="24"/>
          <w:szCs w:val="24"/>
        </w:rPr>
        <w:t>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</w:rPr>
        <w:t xml:space="preserve">     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B6798E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C39B6">
        <w:rPr>
          <w:rFonts w:ascii="Times New Roman" w:hAnsi="Times New Roman" w:cs="Times New Roman"/>
          <w:b/>
          <w:bCs/>
        </w:rPr>
        <w:t>„</w:t>
      </w:r>
      <w:r w:rsidR="002C39B6" w:rsidRPr="002C39B6">
        <w:rPr>
          <w:rFonts w:ascii="Times New Roman" w:hAnsi="Times New Roman" w:cs="Times New Roman"/>
          <w:bCs/>
        </w:rPr>
        <w:t>dostawa elementów  do instalacji  sprężonego gazu ziemnego CNG w wykonaniu EX związanej z modernizacją istniejącego stanowiska diagnostyczno-dynamometrycznego do badań instalacji gazu sprężonego CNG w układzie zasilania silnika testowego wysokoprężnego z zapłonem samoczynnym - reduktor – szt. 2 i ogrzewacza - szt.2 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F6AEB"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 xml:space="preserve">34000000-7 : sprzęt transportowy i środki pomocnicze dla transportu, </w:t>
      </w:r>
    </w:p>
    <w:p w:rsidR="00B6798E" w:rsidRPr="00B6798E" w:rsidRDefault="00B6798E" w:rsidP="00B6798E">
      <w:pPr>
        <w:spacing w:line="360" w:lineRule="auto"/>
        <w:rPr>
          <w:rFonts w:ascii="Times New Roman" w:hAnsi="Times New Roman" w:cs="Times New Roman"/>
        </w:rPr>
      </w:pPr>
      <w:r w:rsidRPr="00B6798E">
        <w:rPr>
          <w:rFonts w:ascii="Times New Roman" w:hAnsi="Times New Roman" w:cs="Times New Roman"/>
        </w:rPr>
        <w:t>34300000-0 : części i akcesoria do pojazdów i silniki do nich,</w:t>
      </w:r>
    </w:p>
    <w:p w:rsidR="00807F08" w:rsidRDefault="00807F08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2C39B6" w:rsidRDefault="002C39B6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2F6AEB" w:rsidRPr="002F6AEB" w:rsidRDefault="002F6AEB" w:rsidP="002C39B6">
      <w:pPr>
        <w:spacing w:line="360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2C39B6" w:rsidRPr="002C39B6">
        <w:rPr>
          <w:rFonts w:ascii="Times New Roman" w:hAnsi="Times New Roman" w:cs="Times New Roman"/>
        </w:rPr>
        <w:t>„</w:t>
      </w:r>
      <w:r w:rsidR="002C39B6" w:rsidRPr="002C39B6">
        <w:rPr>
          <w:rFonts w:ascii="Times New Roman" w:hAnsi="Times New Roman" w:cs="Times New Roman"/>
          <w:bCs/>
        </w:rPr>
        <w:t>dostawa elementów  do instalacji  sprężonego gazu ziemnego CNG w wykonaniu EX związanej z modernizacją istniejącego stanowiska diagnostyczno-dynamometrycznego do badań instalacji gazu sprężonego CNG w układzie zasilania silnika testowego wysokoprężnego z zapłonem samoczynnym - reduktor – szt. 2 i ogrzewacza - szt.2 ”</w:t>
      </w:r>
      <w:r w:rsidR="002C39B6">
        <w:rPr>
          <w:rFonts w:ascii="Times New Roman" w:hAnsi="Times New Roman" w:cs="Times New Roman"/>
          <w:bCs/>
        </w:rPr>
        <w:t xml:space="preserve"> w ramach Projektu pod nazwą </w:t>
      </w:r>
      <w:r w:rsidRPr="002F6AEB">
        <w:rPr>
          <w:rFonts w:ascii="Times New Roman" w:hAnsi="Times New Roman" w:cs="Times New Roman"/>
        </w:rPr>
        <w:t>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2F6AEB" w:rsidRPr="002F6AEB" w:rsidRDefault="002F6AEB" w:rsidP="002F6AE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F6AEB" w:rsidRDefault="002F6AEB" w:rsidP="00F7421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7668CC" w:rsidRDefault="007668CC" w:rsidP="007668CC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Ogrzewacz do instalacji sprężonego gazu ziemnego CNG w wykonaniu EX</w:t>
      </w:r>
    </w:p>
    <w:p w:rsidR="00CD42D0" w:rsidRPr="007668CC" w:rsidRDefault="00CD42D0" w:rsidP="00CD42D0">
      <w:pPr>
        <w:pStyle w:val="Akapitzlist"/>
        <w:spacing w:after="120"/>
        <w:jc w:val="both"/>
        <w:rPr>
          <w:rFonts w:ascii="Times New Roman" w:hAnsi="Times New Roman"/>
        </w:rPr>
      </w:pPr>
    </w:p>
    <w:p w:rsidR="00E17E70" w:rsidRPr="00CD42D0" w:rsidRDefault="00807F08" w:rsidP="00CD42D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D42D0">
        <w:rPr>
          <w:rFonts w:ascii="Times New Roman" w:hAnsi="Times New Roman"/>
        </w:rPr>
        <w:t xml:space="preserve">Wymagane parametry techniczne </w:t>
      </w:r>
      <w:r w:rsidR="007668CC" w:rsidRPr="00CD42D0">
        <w:rPr>
          <w:rFonts w:ascii="Times New Roman" w:hAnsi="Times New Roman"/>
        </w:rPr>
        <w:t>:</w:t>
      </w:r>
    </w:p>
    <w:p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p</w:t>
      </w:r>
      <w:r w:rsidRPr="00932ADC">
        <w:rPr>
          <w:rFonts w:ascii="Times New Roman" w:hAnsi="Times New Roman" w:cs="Times New Roman"/>
          <w:lang w:eastAsia="pl-PL"/>
        </w:rPr>
        <w:t>ojemność: 5l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c</w:t>
      </w:r>
      <w:r w:rsidRPr="00932ADC">
        <w:rPr>
          <w:rFonts w:ascii="Times New Roman" w:hAnsi="Times New Roman" w:cs="Times New Roman"/>
          <w:lang w:eastAsia="pl-PL"/>
        </w:rPr>
        <w:t>zas nagrzewania do 65 st. C (Różnica temperatur 45 st. C): 11 min.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n</w:t>
      </w:r>
      <w:r w:rsidRPr="00932ADC">
        <w:rPr>
          <w:rFonts w:ascii="Times New Roman" w:hAnsi="Times New Roman" w:cs="Times New Roman"/>
          <w:lang w:eastAsia="pl-PL"/>
        </w:rPr>
        <w:t>apięcie znamionowe: 230/50 V/Hz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m</w:t>
      </w:r>
      <w:r w:rsidRPr="00932ADC">
        <w:rPr>
          <w:rFonts w:ascii="Times New Roman" w:hAnsi="Times New Roman" w:cs="Times New Roman"/>
          <w:lang w:eastAsia="pl-PL"/>
        </w:rPr>
        <w:t>oc grzałki elektrycznej: 1500 W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m</w:t>
      </w:r>
      <w:r w:rsidRPr="00932ADC">
        <w:rPr>
          <w:rFonts w:ascii="Times New Roman" w:hAnsi="Times New Roman" w:cs="Times New Roman"/>
          <w:lang w:eastAsia="pl-PL"/>
        </w:rPr>
        <w:t>aksymalny prąd znamionowy: 6,5 A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z</w:t>
      </w:r>
      <w:r w:rsidRPr="00932ADC">
        <w:rPr>
          <w:rFonts w:ascii="Times New Roman" w:hAnsi="Times New Roman" w:cs="Times New Roman"/>
          <w:lang w:eastAsia="pl-PL"/>
        </w:rPr>
        <w:t>akres regulacji temperatury: 7 - 65 st. C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m</w:t>
      </w:r>
      <w:r w:rsidRPr="00932ADC">
        <w:rPr>
          <w:rFonts w:ascii="Times New Roman" w:hAnsi="Times New Roman" w:cs="Times New Roman"/>
          <w:lang w:eastAsia="pl-PL"/>
        </w:rPr>
        <w:t>in</w:t>
      </w:r>
      <w:r>
        <w:rPr>
          <w:rFonts w:ascii="Times New Roman" w:hAnsi="Times New Roman" w:cs="Times New Roman"/>
          <w:lang w:eastAsia="pl-PL"/>
        </w:rPr>
        <w:t xml:space="preserve"> i </w:t>
      </w:r>
      <w:r w:rsidRPr="00932ADC">
        <w:rPr>
          <w:rFonts w:ascii="Times New Roman" w:hAnsi="Times New Roman" w:cs="Times New Roman"/>
          <w:lang w:eastAsia="pl-PL"/>
        </w:rPr>
        <w:t>max temp. znamionowa: 5/85 st. C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m</w:t>
      </w:r>
      <w:r w:rsidRPr="00932ADC">
        <w:rPr>
          <w:rFonts w:ascii="Times New Roman" w:hAnsi="Times New Roman" w:cs="Times New Roman"/>
          <w:lang w:eastAsia="pl-PL"/>
        </w:rPr>
        <w:t>ax ciśnienie robocze zbiornika: 0,6 MPa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wymiary: W</w:t>
      </w:r>
      <w:r w:rsidRPr="00932ADC">
        <w:rPr>
          <w:rFonts w:ascii="Times New Roman" w:hAnsi="Times New Roman" w:cs="Times New Roman"/>
          <w:lang w:eastAsia="pl-PL"/>
        </w:rPr>
        <w:t>ysokość/Szerokość/Głębokość: 41/25/22 [cm]</w:t>
      </w:r>
    </w:p>
    <w:p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k</w:t>
      </w:r>
      <w:r w:rsidRPr="00932ADC">
        <w:rPr>
          <w:rFonts w:ascii="Times New Roman" w:hAnsi="Times New Roman" w:cs="Times New Roman"/>
          <w:lang w:eastAsia="pl-PL"/>
        </w:rPr>
        <w:t>lasa ochronności: IP 24</w:t>
      </w:r>
    </w:p>
    <w:p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7668CC" w:rsidRPr="00CD42D0" w:rsidRDefault="007668CC" w:rsidP="00CD42D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D42D0">
        <w:rPr>
          <w:rFonts w:ascii="Times New Roman" w:hAnsi="Times New Roman"/>
        </w:rPr>
        <w:t>Wymagany osprzęt:</w:t>
      </w:r>
    </w:p>
    <w:p w:rsidR="007668CC" w:rsidRDefault="007668CC" w:rsidP="00CD42D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32ADC">
        <w:rPr>
          <w:rFonts w:ascii="Times New Roman" w:hAnsi="Times New Roman" w:cs="Times New Roman"/>
          <w:lang w:eastAsia="pl-PL"/>
        </w:rPr>
        <w:t>Pompka elektryczna cyrkulacyjna</w:t>
      </w:r>
      <w:r>
        <w:rPr>
          <w:rFonts w:ascii="Times New Roman" w:hAnsi="Times New Roman" w:cs="Times New Roman"/>
          <w:lang w:eastAsia="pl-PL"/>
        </w:rPr>
        <w:t xml:space="preserve"> o następujących parametrach: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32ADC">
        <w:rPr>
          <w:rFonts w:ascii="Times New Roman" w:hAnsi="Times New Roman" w:cs="Times New Roman"/>
          <w:lang w:eastAsia="pl-PL"/>
        </w:rPr>
        <w:t xml:space="preserve">Pompa </w:t>
      </w:r>
      <w:r>
        <w:rPr>
          <w:rFonts w:ascii="Times New Roman" w:hAnsi="Times New Roman" w:cs="Times New Roman"/>
          <w:lang w:eastAsia="pl-PL"/>
        </w:rPr>
        <w:t xml:space="preserve">ma być </w:t>
      </w:r>
      <w:r w:rsidRPr="00932ADC">
        <w:rPr>
          <w:rFonts w:ascii="Times New Roman" w:hAnsi="Times New Roman" w:cs="Times New Roman"/>
          <w:lang w:eastAsia="pl-PL"/>
        </w:rPr>
        <w:t>przeznaczona do wymuszania cyrkulacji w obiegach płynu chłodniczego</w:t>
      </w:r>
      <w:r>
        <w:rPr>
          <w:rFonts w:ascii="Times New Roman" w:hAnsi="Times New Roman" w:cs="Times New Roman"/>
          <w:lang w:eastAsia="pl-PL"/>
        </w:rPr>
        <w:t>.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k</w:t>
      </w:r>
      <w:r w:rsidRPr="00932ADC">
        <w:rPr>
          <w:rFonts w:ascii="Times New Roman" w:hAnsi="Times New Roman" w:cs="Times New Roman"/>
          <w:lang w:eastAsia="pl-PL"/>
        </w:rPr>
        <w:t>onstrukcja: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32ADC">
        <w:rPr>
          <w:rFonts w:ascii="Times New Roman" w:hAnsi="Times New Roman" w:cs="Times New Roman"/>
          <w:lang w:eastAsia="pl-PL"/>
        </w:rPr>
        <w:t>Korpus pompy</w:t>
      </w:r>
      <w:r>
        <w:rPr>
          <w:rFonts w:ascii="Times New Roman" w:hAnsi="Times New Roman" w:cs="Times New Roman"/>
          <w:lang w:eastAsia="pl-PL"/>
        </w:rPr>
        <w:t xml:space="preserve"> ma być </w:t>
      </w:r>
      <w:r w:rsidRPr="00932ADC">
        <w:rPr>
          <w:rFonts w:ascii="Times New Roman" w:hAnsi="Times New Roman" w:cs="Times New Roman"/>
          <w:lang w:eastAsia="pl-PL"/>
        </w:rPr>
        <w:t>wykonany ze stali szlachetnej/technopolimeru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932ADC">
        <w:rPr>
          <w:rFonts w:ascii="Times New Roman" w:hAnsi="Times New Roman" w:cs="Times New Roman"/>
          <w:lang w:eastAsia="pl-PL"/>
        </w:rPr>
        <w:lastRenderedPageBreak/>
        <w:t>Wirnik</w:t>
      </w:r>
      <w:r>
        <w:rPr>
          <w:rFonts w:ascii="Times New Roman" w:hAnsi="Times New Roman" w:cs="Times New Roman"/>
          <w:lang w:eastAsia="pl-PL"/>
        </w:rPr>
        <w:t xml:space="preserve"> ma być wykonany</w:t>
      </w:r>
      <w:r w:rsidRPr="00932ADC">
        <w:rPr>
          <w:rFonts w:ascii="Times New Roman" w:hAnsi="Times New Roman" w:cs="Times New Roman"/>
          <w:lang w:eastAsia="pl-PL"/>
        </w:rPr>
        <w:t xml:space="preserve"> z norylu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p</w:t>
      </w:r>
      <w:r w:rsidRPr="00932ADC">
        <w:rPr>
          <w:rFonts w:ascii="Times New Roman" w:hAnsi="Times New Roman" w:cs="Times New Roman"/>
          <w:lang w:eastAsia="pl-PL"/>
        </w:rPr>
        <w:t>arametry techniczne pompy obiegowej: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z</w:t>
      </w:r>
      <w:r w:rsidRPr="00932ADC">
        <w:rPr>
          <w:rFonts w:ascii="Times New Roman" w:hAnsi="Times New Roman" w:cs="Times New Roman"/>
          <w:lang w:eastAsia="pl-PL"/>
        </w:rPr>
        <w:t>asilanie: 230 V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m</w:t>
      </w:r>
      <w:r w:rsidRPr="00932ADC">
        <w:rPr>
          <w:rFonts w:ascii="Times New Roman" w:hAnsi="Times New Roman" w:cs="Times New Roman"/>
          <w:lang w:eastAsia="pl-PL"/>
        </w:rPr>
        <w:t>oc silnika: 50 W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w</w:t>
      </w:r>
      <w:r w:rsidRPr="00932ADC">
        <w:rPr>
          <w:rFonts w:ascii="Times New Roman" w:hAnsi="Times New Roman" w:cs="Times New Roman"/>
          <w:lang w:eastAsia="pl-PL"/>
        </w:rPr>
        <w:t>ysokość podnoszenia: 1,2 m</w:t>
      </w:r>
    </w:p>
    <w:p w:rsidR="007668CC" w:rsidRPr="00932AD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m</w:t>
      </w:r>
      <w:r w:rsidRPr="00932ADC">
        <w:rPr>
          <w:rFonts w:ascii="Times New Roman" w:hAnsi="Times New Roman" w:cs="Times New Roman"/>
          <w:lang w:eastAsia="pl-PL"/>
        </w:rPr>
        <w:t>aksymalna wydajność: 12 l/min</w:t>
      </w:r>
    </w:p>
    <w:p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t</w:t>
      </w:r>
      <w:r w:rsidRPr="00932ADC">
        <w:rPr>
          <w:rFonts w:ascii="Times New Roman" w:hAnsi="Times New Roman" w:cs="Times New Roman"/>
          <w:lang w:eastAsia="pl-PL"/>
        </w:rPr>
        <w:t>emperatura wody: -20 / 95 st</w:t>
      </w:r>
      <w:r>
        <w:rPr>
          <w:rFonts w:ascii="Times New Roman" w:hAnsi="Times New Roman" w:cs="Times New Roman"/>
          <w:lang w:eastAsia="pl-PL"/>
        </w:rPr>
        <w:t>. C.</w:t>
      </w:r>
    </w:p>
    <w:p w:rsidR="007668CC" w:rsidRDefault="007668CC" w:rsidP="007668CC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Przewód cyrkulacyjny płynu</w:t>
      </w:r>
    </w:p>
    <w:p w:rsidR="007668CC" w:rsidRDefault="007668CC" w:rsidP="007668CC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Skrzynka elektryczna w wykonaniu EX, zawierająca p</w:t>
      </w:r>
      <w:r w:rsidRPr="00932ADC">
        <w:rPr>
          <w:rFonts w:ascii="Times New Roman" w:hAnsi="Times New Roman" w:cs="Times New Roman"/>
          <w:lang w:eastAsia="pl-PL"/>
        </w:rPr>
        <w:t>łytę montażową, płyta dławieniowa z uszczelką</w:t>
      </w:r>
      <w:r>
        <w:rPr>
          <w:rFonts w:ascii="Times New Roman" w:hAnsi="Times New Roman" w:cs="Times New Roman"/>
          <w:lang w:eastAsia="pl-PL"/>
        </w:rPr>
        <w:t>, s</w:t>
      </w:r>
      <w:r w:rsidRPr="00932ADC">
        <w:rPr>
          <w:rFonts w:ascii="Times New Roman" w:hAnsi="Times New Roman" w:cs="Times New Roman"/>
          <w:lang w:eastAsia="pl-PL"/>
        </w:rPr>
        <w:t>zyny montażowe na drzwiach po stronie wewnętrznej</w:t>
      </w:r>
      <w:r>
        <w:rPr>
          <w:rFonts w:ascii="Times New Roman" w:hAnsi="Times New Roman" w:cs="Times New Roman"/>
          <w:lang w:eastAsia="pl-PL"/>
        </w:rPr>
        <w:t xml:space="preserve">, o obudowie </w:t>
      </w:r>
      <w:r w:rsidRPr="00932ADC">
        <w:rPr>
          <w:rFonts w:ascii="Times New Roman" w:hAnsi="Times New Roman" w:cs="Times New Roman"/>
          <w:lang w:eastAsia="pl-PL"/>
        </w:rPr>
        <w:t>metalowa lakierowana proszkowo</w:t>
      </w:r>
      <w:r>
        <w:rPr>
          <w:rFonts w:ascii="Times New Roman" w:hAnsi="Times New Roman" w:cs="Times New Roman"/>
          <w:lang w:eastAsia="pl-PL"/>
        </w:rPr>
        <w:t xml:space="preserve"> oraz wymiarach </w:t>
      </w:r>
      <w:r w:rsidRPr="00932ADC">
        <w:rPr>
          <w:rFonts w:ascii="Times New Roman" w:hAnsi="Times New Roman" w:cs="Times New Roman"/>
          <w:lang w:eastAsia="pl-PL"/>
        </w:rPr>
        <w:t>600x1000x300 [mm]</w:t>
      </w:r>
      <w:r>
        <w:rPr>
          <w:rFonts w:ascii="Times New Roman" w:hAnsi="Times New Roman" w:cs="Times New Roman"/>
          <w:lang w:eastAsia="pl-PL"/>
        </w:rPr>
        <w:t>.</w:t>
      </w:r>
    </w:p>
    <w:p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7668CC" w:rsidRPr="00CD42D0" w:rsidRDefault="007668CC" w:rsidP="00CD42D0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D42D0">
        <w:rPr>
          <w:rFonts w:ascii="Times New Roman" w:hAnsi="Times New Roman"/>
        </w:rPr>
        <w:t>Wymagana liczba sztuk ogrzewacza do instalacji technologicznej gazu ziemnego wraz z niezbędnym osprzętem:</w:t>
      </w:r>
    </w:p>
    <w:p w:rsidR="007668CC" w:rsidRDefault="007668CC" w:rsidP="00CD42D0">
      <w:pPr>
        <w:spacing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wymaga 2 sztuki ogrzewacza do sprężonego gazu ziemnego, zawierającego wszelki osprzęt, który opisano we wcześniejszych punktach.</w:t>
      </w:r>
    </w:p>
    <w:p w:rsidR="00CD42D0" w:rsidRDefault="00CD42D0" w:rsidP="00CD42D0">
      <w:pPr>
        <w:spacing w:line="276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CD42D0" w:rsidRDefault="00CD42D0" w:rsidP="00CD42D0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Reduktor do instalacji sprężonego gazu ziemnego CNG w wykonaniu EX</w:t>
      </w:r>
    </w:p>
    <w:p w:rsidR="00204953" w:rsidRDefault="00204953" w:rsidP="00204953">
      <w:pPr>
        <w:numPr>
          <w:ilvl w:val="0"/>
          <w:numId w:val="35"/>
        </w:numPr>
        <w:spacing w:line="276" w:lineRule="auto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parametry techniczne reduktora: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z</w:t>
      </w:r>
      <w:r w:rsidRPr="00EB4BFA">
        <w:rPr>
          <w:rFonts w:ascii="Times New Roman" w:hAnsi="Times New Roman" w:cs="Times New Roman"/>
          <w:lang w:eastAsia="pl-PL"/>
        </w:rPr>
        <w:t>akres temperatury: -40 st.C do 93 st.C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m</w:t>
      </w:r>
      <w:r w:rsidRPr="00EB4BFA">
        <w:rPr>
          <w:rFonts w:ascii="Times New Roman" w:hAnsi="Times New Roman" w:cs="Times New Roman"/>
          <w:lang w:eastAsia="pl-PL"/>
        </w:rPr>
        <w:t>ateriał obudowy: Aluminium 6061-T6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m</w:t>
      </w:r>
      <w:r w:rsidRPr="00EB4BFA">
        <w:rPr>
          <w:rFonts w:ascii="Times New Roman" w:hAnsi="Times New Roman" w:cs="Times New Roman"/>
          <w:lang w:eastAsia="pl-PL"/>
        </w:rPr>
        <w:t>aks. ciśnienie wyjściowe: 22,1 bar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z</w:t>
      </w:r>
      <w:r w:rsidRPr="00EB4BFA">
        <w:rPr>
          <w:rFonts w:ascii="Times New Roman" w:hAnsi="Times New Roman" w:cs="Times New Roman"/>
          <w:lang w:eastAsia="pl-PL"/>
        </w:rPr>
        <w:t>akres punktu nastawy: 13,9 do 22,1 bar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Wymagane r</w:t>
      </w:r>
      <w:r w:rsidRPr="00EB4BFA">
        <w:rPr>
          <w:rFonts w:ascii="Times New Roman" w:hAnsi="Times New Roman" w:cs="Times New Roman"/>
          <w:lang w:eastAsia="pl-PL"/>
        </w:rPr>
        <w:t>odzaj</w:t>
      </w:r>
      <w:r>
        <w:rPr>
          <w:rFonts w:ascii="Times New Roman" w:hAnsi="Times New Roman" w:cs="Times New Roman"/>
          <w:lang w:eastAsia="pl-PL"/>
        </w:rPr>
        <w:t>e</w:t>
      </w:r>
      <w:r w:rsidRPr="00EB4BFA">
        <w:rPr>
          <w:rFonts w:ascii="Times New Roman" w:hAnsi="Times New Roman" w:cs="Times New Roman"/>
          <w:lang w:eastAsia="pl-PL"/>
        </w:rPr>
        <w:t xml:space="preserve"> gwintów przyłączy: NPT-F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r</w:t>
      </w:r>
      <w:r w:rsidRPr="00EB4BFA">
        <w:rPr>
          <w:rFonts w:ascii="Times New Roman" w:hAnsi="Times New Roman" w:cs="Times New Roman"/>
          <w:lang w:eastAsia="pl-PL"/>
        </w:rPr>
        <w:t>ozmiar przyłącza wejściowego: 1/4"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Wymagany r</w:t>
      </w:r>
      <w:r w:rsidRPr="00EB4BFA">
        <w:rPr>
          <w:rFonts w:ascii="Times New Roman" w:hAnsi="Times New Roman" w:cs="Times New Roman"/>
          <w:lang w:eastAsia="pl-PL"/>
        </w:rPr>
        <w:t>ozmiar przyłącza wyjściowego: 3/8”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n</w:t>
      </w:r>
      <w:r w:rsidRPr="00EB4BFA">
        <w:rPr>
          <w:rFonts w:ascii="Times New Roman" w:hAnsi="Times New Roman" w:cs="Times New Roman"/>
          <w:lang w:eastAsia="pl-PL"/>
        </w:rPr>
        <w:t>astawa poziomu ciśnienia wyjściowego: 17,2bar</w:t>
      </w:r>
    </w:p>
    <w:p w:rsidR="00204953" w:rsidRPr="00EB4BFA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Reduktor musi być wyposażony w r</w:t>
      </w:r>
      <w:r w:rsidRPr="00EB4BFA">
        <w:rPr>
          <w:rFonts w:ascii="Times New Roman" w:hAnsi="Times New Roman" w:cs="Times New Roman"/>
          <w:lang w:eastAsia="pl-PL"/>
        </w:rPr>
        <w:t>egulator z sensorem tłokowym oraz wymiennikiem ciepła (płaszcz wodny)</w:t>
      </w:r>
    </w:p>
    <w:p w:rsidR="00204953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B4BFA">
        <w:rPr>
          <w:rFonts w:ascii="Times New Roman" w:hAnsi="Times New Roman" w:cs="Times New Roman"/>
          <w:lang w:eastAsia="pl-PL"/>
        </w:rPr>
        <w:t xml:space="preserve">Reduktor </w:t>
      </w:r>
      <w:r>
        <w:rPr>
          <w:rFonts w:ascii="Times New Roman" w:hAnsi="Times New Roman" w:cs="Times New Roman"/>
          <w:lang w:eastAsia="pl-PL"/>
        </w:rPr>
        <w:t xml:space="preserve">musi być </w:t>
      </w:r>
      <w:r w:rsidRPr="00EB4BFA">
        <w:rPr>
          <w:rFonts w:ascii="Times New Roman" w:hAnsi="Times New Roman" w:cs="Times New Roman"/>
          <w:lang w:eastAsia="pl-PL"/>
        </w:rPr>
        <w:t>przeznaczony do silników pojazdów zasilanych gazem ziemnym CNG.</w:t>
      </w:r>
    </w:p>
    <w:p w:rsidR="00204953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Reduktor musi być z</w:t>
      </w:r>
      <w:r w:rsidRPr="00EB4BFA">
        <w:rPr>
          <w:rFonts w:ascii="Times New Roman" w:hAnsi="Times New Roman" w:cs="Times New Roman"/>
          <w:lang w:eastAsia="pl-PL"/>
        </w:rPr>
        <w:t>godny z wymaganiami ECE-R 110 do zastosowań niskotemperaturowych CNG</w:t>
      </w:r>
      <w:r>
        <w:rPr>
          <w:rFonts w:ascii="Times New Roman" w:hAnsi="Times New Roman" w:cs="Times New Roman"/>
          <w:lang w:eastAsia="pl-PL"/>
        </w:rPr>
        <w:t>.</w:t>
      </w:r>
    </w:p>
    <w:p w:rsidR="00204953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204953" w:rsidRDefault="00204953" w:rsidP="00204953">
      <w:pPr>
        <w:numPr>
          <w:ilvl w:val="0"/>
          <w:numId w:val="35"/>
        </w:numPr>
        <w:spacing w:line="276" w:lineRule="auto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Wymagana liczba sztuk reduktorów:</w:t>
      </w:r>
    </w:p>
    <w:p w:rsidR="00204953" w:rsidRDefault="00204953" w:rsidP="00204953">
      <w:pPr>
        <w:spacing w:line="276" w:lineRule="auto"/>
        <w:ind w:left="1068"/>
        <w:jc w:val="both"/>
        <w:rPr>
          <w:rFonts w:ascii="Times New Roman" w:hAnsi="Times New Roman" w:cs="Times New Roman"/>
          <w:lang w:eastAsia="pl-PL"/>
        </w:rPr>
      </w:pPr>
    </w:p>
    <w:p w:rsidR="00204953" w:rsidRPr="003207F2" w:rsidRDefault="00204953" w:rsidP="00204953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wymaga 2 sztuki reduktora. </w:t>
      </w:r>
    </w:p>
    <w:p w:rsidR="007668CC" w:rsidRDefault="007668CC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B6798E">
        <w:rPr>
          <w:rFonts w:ascii="Times New Roman" w:hAnsi="Times New Roman"/>
          <w:b/>
          <w:sz w:val="24"/>
          <w:szCs w:val="24"/>
        </w:rPr>
        <w:t>2</w:t>
      </w:r>
      <w:r w:rsidRPr="003939CA">
        <w:rPr>
          <w:rFonts w:ascii="Times New Roman" w:hAnsi="Times New Roman"/>
          <w:b/>
          <w:sz w:val="24"/>
          <w:szCs w:val="24"/>
        </w:rPr>
        <w:t>2.0</w:t>
      </w:r>
      <w:r w:rsidR="00B6798E">
        <w:rPr>
          <w:rFonts w:ascii="Times New Roman" w:hAnsi="Times New Roman"/>
          <w:b/>
          <w:sz w:val="24"/>
          <w:szCs w:val="24"/>
        </w:rPr>
        <w:t>3</w:t>
      </w:r>
      <w:r w:rsidRPr="003939CA">
        <w:rPr>
          <w:rFonts w:ascii="Times New Roman" w:hAnsi="Times New Roman"/>
          <w:b/>
          <w:sz w:val="24"/>
          <w:szCs w:val="24"/>
        </w:rPr>
        <w:t>.2020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  <w:r w:rsidR="002F6AEB" w:rsidRPr="002F6AEB">
        <w:rPr>
          <w:rFonts w:ascii="Times New Roman" w:hAnsi="Times New Roman" w:cs="Times New Roman"/>
        </w:rPr>
        <w:t xml:space="preserve"> 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</w:t>
      </w:r>
      <w:r w:rsidR="00B51CEF">
        <w:rPr>
          <w:rFonts w:ascii="Times New Roman" w:hAnsi="Times New Roman" w:cs="Times New Roman"/>
        </w:rPr>
        <w:t xml:space="preserve"> 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wykonać </w:t>
      </w:r>
      <w:r w:rsidR="00C80E00">
        <w:rPr>
          <w:rFonts w:ascii="Times New Roman" w:hAnsi="Times New Roman" w:cs="Times New Roman"/>
        </w:rPr>
        <w:t>d</w:t>
      </w:r>
      <w:r w:rsidR="00EF7D3A">
        <w:rPr>
          <w:rFonts w:ascii="Times New Roman" w:hAnsi="Times New Roman" w:cs="Times New Roman"/>
        </w:rPr>
        <w:t xml:space="preserve">o 30 marca 2020r. , </w:t>
      </w:r>
      <w:r w:rsidR="00C80E00">
        <w:rPr>
          <w:rFonts w:ascii="Times New Roman" w:hAnsi="Times New Roman" w:cs="Times New Roman"/>
        </w:rPr>
        <w:t xml:space="preserve">nie  później niż </w:t>
      </w:r>
      <w:r w:rsidR="00EF7D3A">
        <w:rPr>
          <w:rFonts w:ascii="Times New Roman" w:hAnsi="Times New Roman" w:cs="Times New Roman"/>
        </w:rPr>
        <w:t>w ciągu 5 dni  od daty wyboru oferty Wykonawcy i podpisania umowy dostawy .</w:t>
      </w:r>
      <w:r w:rsidR="00B6798E">
        <w:rPr>
          <w:rFonts w:ascii="Times New Roman" w:hAnsi="Times New Roman" w:cs="Times New Roman"/>
        </w:rPr>
        <w:t xml:space="preserve"> </w:t>
      </w:r>
    </w:p>
    <w:p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204953" w:rsidRPr="00204953">
        <w:rPr>
          <w:rFonts w:ascii="Times New Roman" w:hAnsi="Times New Roman" w:cs="Times New Roman"/>
          <w:b/>
          <w:bCs/>
        </w:rPr>
        <w:t>dostawa elementów  do instalacji  sprężonego gazu ziemnego CNG w wykonaniu EX związanej z modernizacją istniejącego stanowiska diagnostyczno-dynamometrycznego do badań instalacji gazu sprężonego CNG w układzie zasilania silnika testowego wysokoprężnego z zapłonem samoczynnym - reduktor – szt. 2 i ogrzewacza - szt.2 ”</w:t>
      </w:r>
      <w:r w:rsidR="00204953">
        <w:rPr>
          <w:rFonts w:ascii="Times New Roman" w:hAnsi="Times New Roman" w:cs="Times New Roman"/>
          <w:b/>
          <w:bCs/>
        </w:rPr>
        <w:t xml:space="preserve"> </w:t>
      </w:r>
      <w:r w:rsidR="00EF7D3A">
        <w:rPr>
          <w:rFonts w:ascii="Times New Roman" w:hAnsi="Times New Roman" w:cs="Times New Roman"/>
          <w:b/>
          <w:bCs/>
        </w:rPr>
        <w:t xml:space="preserve"> </w:t>
      </w:r>
      <w:r w:rsidR="00B71456">
        <w:rPr>
          <w:rFonts w:ascii="Times New Roman" w:hAnsi="Times New Roman" w:cs="Times New Roman"/>
          <w:b/>
          <w:bCs/>
        </w:rPr>
        <w:t>.</w:t>
      </w:r>
      <w:r w:rsidRPr="002F6AEB">
        <w:rPr>
          <w:rFonts w:ascii="Times New Roman" w:hAnsi="Times New Roman" w:cs="Times New Roman"/>
          <w:b/>
        </w:rPr>
        <w:t xml:space="preserve"> 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C80E00">
        <w:rPr>
          <w:rFonts w:ascii="Times New Roman" w:hAnsi="Times New Roman" w:cs="Times New Roman"/>
          <w:b/>
        </w:rPr>
        <w:t xml:space="preserve">25.03.2020r.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EF7D3A">
        <w:rPr>
          <w:rFonts w:ascii="Times New Roman" w:hAnsi="Times New Roman" w:cs="Times New Roman"/>
          <w:b/>
        </w:rPr>
        <w:t>25</w:t>
      </w:r>
      <w:r w:rsidRPr="002F6AEB">
        <w:rPr>
          <w:rFonts w:ascii="Times New Roman" w:hAnsi="Times New Roman" w:cs="Times New Roman"/>
          <w:b/>
        </w:rPr>
        <w:t>.0</w:t>
      </w:r>
      <w:r w:rsidR="00C80E00">
        <w:rPr>
          <w:rFonts w:ascii="Times New Roman" w:hAnsi="Times New Roman" w:cs="Times New Roman"/>
          <w:b/>
        </w:rPr>
        <w:t>3</w:t>
      </w:r>
      <w:r w:rsidRPr="002F6AEB">
        <w:rPr>
          <w:rFonts w:ascii="Times New Roman" w:hAnsi="Times New Roman" w:cs="Times New Roman"/>
          <w:b/>
        </w:rPr>
        <w:t>.2020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C80E00">
        <w:rPr>
          <w:rFonts w:ascii="Times New Roman" w:hAnsi="Times New Roman" w:cs="Times New Roman"/>
          <w:b/>
        </w:rPr>
        <w:t>25.03.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Pr="00292FF9">
        <w:rPr>
          <w:rFonts w:ascii="Times New Roman" w:hAnsi="Times New Roman" w:cs="Times New Roman"/>
        </w:rPr>
        <w:t xml:space="preserve"> </w:t>
      </w:r>
      <w:r w:rsidR="00204953" w:rsidRPr="00204953">
        <w:rPr>
          <w:rFonts w:ascii="Times New Roman" w:hAnsi="Times New Roman" w:cs="Times New Roman"/>
          <w:b/>
        </w:rPr>
        <w:t>„</w:t>
      </w:r>
      <w:r w:rsidR="00204953" w:rsidRPr="00204953">
        <w:rPr>
          <w:rFonts w:ascii="Times New Roman" w:hAnsi="Times New Roman" w:cs="Times New Roman"/>
          <w:b/>
          <w:bCs/>
        </w:rPr>
        <w:t>dostawa elementów  do instalacji  sprężonego gazu ziemnego CNG w wykonaniu EX związanej z modernizacją istniejącego stanowiska diagnostyczno-</w:t>
      </w:r>
      <w:r w:rsidR="00204953" w:rsidRPr="00204953">
        <w:rPr>
          <w:rFonts w:ascii="Times New Roman" w:hAnsi="Times New Roman" w:cs="Times New Roman"/>
          <w:b/>
          <w:bCs/>
        </w:rPr>
        <w:lastRenderedPageBreak/>
        <w:t>dynamometrycznego do badań instalacji gazu sprężonego CNG w układzie zasilania silnika testowego wysokoprężnego z zapłonem samoczynnym - reduktor – szt. 2 i ogrzewacza - szt.2 ”</w:t>
      </w:r>
      <w:r w:rsidR="00204953">
        <w:rPr>
          <w:rFonts w:ascii="Times New Roman" w:hAnsi="Times New Roman" w:cs="Times New Roman"/>
          <w:b/>
          <w:bCs/>
        </w:rPr>
        <w:t xml:space="preserve">  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C80E00">
        <w:rPr>
          <w:rFonts w:ascii="Times New Roman" w:hAnsi="Times New Roman" w:cs="Times New Roman"/>
          <w:b/>
        </w:rPr>
        <w:t>25.03</w:t>
      </w:r>
      <w:r w:rsidRPr="002F6AEB">
        <w:rPr>
          <w:rFonts w:ascii="Times New Roman" w:hAnsi="Times New Roman" w:cs="Times New Roman"/>
          <w:b/>
        </w:rPr>
        <w:t>.2020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  <w:vertAlign w:val="superscript"/>
        </w:rPr>
        <w:t xml:space="preserve">  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  <w:r w:rsidR="002F6AEB" w:rsidRPr="00A56667">
        <w:rPr>
          <w:rFonts w:ascii="Times New Roman" w:hAnsi="Times New Roman" w:cs="Times New Roman"/>
        </w:rPr>
        <w:t xml:space="preserve"> </w:t>
      </w:r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</w:t>
      </w:r>
      <w:r w:rsidRPr="002F6AEB">
        <w:rPr>
          <w:rFonts w:ascii="Times New Roman" w:hAnsi="Times New Roman"/>
          <w:sz w:val="24"/>
          <w:szCs w:val="24"/>
        </w:rPr>
        <w:t xml:space="preserve"> </w:t>
      </w:r>
      <w:r w:rsidR="008950DA">
        <w:rPr>
          <w:rFonts w:ascii="Times New Roman" w:hAnsi="Times New Roman"/>
          <w:sz w:val="24"/>
          <w:szCs w:val="24"/>
        </w:rPr>
        <w:t>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07" w:rsidRDefault="00DF1307">
      <w:r>
        <w:separator/>
      </w:r>
    </w:p>
  </w:endnote>
  <w:endnote w:type="continuationSeparator" w:id="1">
    <w:p w:rsidR="00DF1307" w:rsidRDefault="00DF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286C04">
    <w:pPr>
      <w:pStyle w:val="Stopka"/>
      <w:jc w:val="center"/>
    </w:pPr>
    <w:fldSimple w:instr=" PAGE   \* MERGEFORMAT ">
      <w:r w:rsidR="00204953">
        <w:rPr>
          <w:noProof/>
        </w:rPr>
        <w:t>13</w:t>
      </w:r>
    </w:fldSimple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07" w:rsidRDefault="00DF1307">
      <w:r>
        <w:separator/>
      </w:r>
    </w:p>
  </w:footnote>
  <w:footnote w:type="continuationSeparator" w:id="1">
    <w:p w:rsidR="00DF1307" w:rsidRDefault="00DF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8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0"/>
  </w:num>
  <w:num w:numId="8">
    <w:abstractNumId w:val="30"/>
  </w:num>
  <w:num w:numId="9">
    <w:abstractNumId w:val="31"/>
  </w:num>
  <w:num w:numId="10">
    <w:abstractNumId w:val="25"/>
  </w:num>
  <w:num w:numId="11">
    <w:abstractNumId w:val="33"/>
  </w:num>
  <w:num w:numId="12">
    <w:abstractNumId w:val="38"/>
  </w:num>
  <w:num w:numId="13">
    <w:abstractNumId w:val="23"/>
  </w:num>
  <w:num w:numId="14">
    <w:abstractNumId w:val="36"/>
  </w:num>
  <w:num w:numId="15">
    <w:abstractNumId w:val="7"/>
  </w:num>
  <w:num w:numId="16">
    <w:abstractNumId w:val="2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18"/>
  </w:num>
  <w:num w:numId="22">
    <w:abstractNumId w:val="39"/>
  </w:num>
  <w:num w:numId="23">
    <w:abstractNumId w:val="32"/>
  </w:num>
  <w:num w:numId="24">
    <w:abstractNumId w:val="29"/>
  </w:num>
  <w:num w:numId="25">
    <w:abstractNumId w:val="37"/>
  </w:num>
  <w:num w:numId="26">
    <w:abstractNumId w:val="21"/>
  </w:num>
  <w:num w:numId="27">
    <w:abstractNumId w:val="8"/>
  </w:num>
  <w:num w:numId="28">
    <w:abstractNumId w:val="12"/>
  </w:num>
  <w:num w:numId="29">
    <w:abstractNumId w:val="6"/>
  </w:num>
  <w:num w:numId="30">
    <w:abstractNumId w:val="24"/>
  </w:num>
  <w:num w:numId="31">
    <w:abstractNumId w:val="26"/>
  </w:num>
  <w:num w:numId="32">
    <w:abstractNumId w:val="27"/>
  </w:num>
  <w:num w:numId="33">
    <w:abstractNumId w:val="34"/>
  </w:num>
  <w:num w:numId="34">
    <w:abstractNumId w:val="16"/>
  </w:num>
  <w:num w:numId="35">
    <w:abstractNumId w:val="35"/>
  </w:num>
  <w:num w:numId="36">
    <w:abstractNumId w:val="28"/>
  </w:num>
  <w:num w:numId="37">
    <w:abstractNumId w:val="1"/>
  </w:num>
  <w:num w:numId="38">
    <w:abstractNumId w:val="11"/>
  </w:num>
  <w:num w:numId="39">
    <w:abstractNumId w:val="2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31047"/>
    <w:rsid w:val="00057F7A"/>
    <w:rsid w:val="00073536"/>
    <w:rsid w:val="000E438C"/>
    <w:rsid w:val="00144825"/>
    <w:rsid w:val="0017683B"/>
    <w:rsid w:val="001C0222"/>
    <w:rsid w:val="00204953"/>
    <w:rsid w:val="00206AD4"/>
    <w:rsid w:val="0026570F"/>
    <w:rsid w:val="00274DD6"/>
    <w:rsid w:val="00286C04"/>
    <w:rsid w:val="00292FF9"/>
    <w:rsid w:val="002C39B6"/>
    <w:rsid w:val="002E7109"/>
    <w:rsid w:val="002F6AEB"/>
    <w:rsid w:val="003207F2"/>
    <w:rsid w:val="00332379"/>
    <w:rsid w:val="00356D00"/>
    <w:rsid w:val="00373D85"/>
    <w:rsid w:val="00383E28"/>
    <w:rsid w:val="003866C4"/>
    <w:rsid w:val="003939CA"/>
    <w:rsid w:val="00395676"/>
    <w:rsid w:val="003E26BE"/>
    <w:rsid w:val="004118EB"/>
    <w:rsid w:val="004F1AE5"/>
    <w:rsid w:val="005E383D"/>
    <w:rsid w:val="00650879"/>
    <w:rsid w:val="0076613E"/>
    <w:rsid w:val="007668CC"/>
    <w:rsid w:val="007765F4"/>
    <w:rsid w:val="007D64FC"/>
    <w:rsid w:val="00807F08"/>
    <w:rsid w:val="00813576"/>
    <w:rsid w:val="008879F4"/>
    <w:rsid w:val="008903EF"/>
    <w:rsid w:val="00892C9D"/>
    <w:rsid w:val="008950DA"/>
    <w:rsid w:val="008B1C1A"/>
    <w:rsid w:val="008B2280"/>
    <w:rsid w:val="008C2396"/>
    <w:rsid w:val="008C2DBC"/>
    <w:rsid w:val="008D75D8"/>
    <w:rsid w:val="008F4D14"/>
    <w:rsid w:val="00934F0E"/>
    <w:rsid w:val="009369E4"/>
    <w:rsid w:val="009951A9"/>
    <w:rsid w:val="00A56667"/>
    <w:rsid w:val="00A61046"/>
    <w:rsid w:val="00A74609"/>
    <w:rsid w:val="00AA3DDB"/>
    <w:rsid w:val="00AB4333"/>
    <w:rsid w:val="00AB6EFF"/>
    <w:rsid w:val="00AF725F"/>
    <w:rsid w:val="00B156D8"/>
    <w:rsid w:val="00B434BB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A7E5A"/>
    <w:rsid w:val="00BC1718"/>
    <w:rsid w:val="00C00A42"/>
    <w:rsid w:val="00C7109A"/>
    <w:rsid w:val="00C80E00"/>
    <w:rsid w:val="00C8795F"/>
    <w:rsid w:val="00C97640"/>
    <w:rsid w:val="00CA2D20"/>
    <w:rsid w:val="00CD4279"/>
    <w:rsid w:val="00CD42D0"/>
    <w:rsid w:val="00D02A5B"/>
    <w:rsid w:val="00D0740C"/>
    <w:rsid w:val="00D43EF5"/>
    <w:rsid w:val="00D465FF"/>
    <w:rsid w:val="00D73A96"/>
    <w:rsid w:val="00D96A2E"/>
    <w:rsid w:val="00DE04DC"/>
    <w:rsid w:val="00DF1307"/>
    <w:rsid w:val="00E11621"/>
    <w:rsid w:val="00E17E70"/>
    <w:rsid w:val="00E20955"/>
    <w:rsid w:val="00E849C8"/>
    <w:rsid w:val="00E87EC4"/>
    <w:rsid w:val="00ED3319"/>
    <w:rsid w:val="00EF7D3A"/>
    <w:rsid w:val="00F01A35"/>
    <w:rsid w:val="00F144C3"/>
    <w:rsid w:val="00F33ED9"/>
    <w:rsid w:val="00F662E0"/>
    <w:rsid w:val="00F74215"/>
    <w:rsid w:val="00F91E01"/>
    <w:rsid w:val="00FB05A5"/>
    <w:rsid w:val="00F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8BFE-62CB-4170-AC30-2A12990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22035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2020-03-18T10:52:00Z</dcterms:created>
  <dcterms:modified xsi:type="dcterms:W3CDTF">2020-03-18T10:52:00Z</dcterms:modified>
</cp:coreProperties>
</file>